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基于OBE的专业人才培养方案制定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徐鸿翔‌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以学生为中心、以产出为导向、持续改进的专业人才培养方案的制定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专业建设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