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职业院校“双师型”教师建设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辛秀兰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教授、副院书记、院长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职业院校“双师型”教师建设方针政策、实施方法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