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新专业目录视角下系统构建专业评价指标体系，推进专业动态调整与升级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陈永楠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构建专业评价指标体系需要紧密结合新目录，确保评价体系的时效性和前瞻性。本课程涵盖了新专业目录视角的引入、专业评价指标体系的构建、推进专业动态调整与升级以及保障措施与机制建设等多个方面。这些内容共同构成了推进专业建设和发展的重要框架和路径。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课程体系提升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