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Arial" w:hAnsi="Arial" w:eastAsia="Arial"/>
          <w:b/>
          <w:i w:val="0"/>
          <w:color w:val="0000FF"/>
          <w:sz w:val="32"/>
          <w:u w:val="none"/>
        </w:rPr>
        <w:t>专业课教学中的课程思政建设 - 课程初稿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专家: 张铁凤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职称: 教授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课程时长: 4分钟</w:t>
      </w:r>
    </w:p>
    <w:p>
      <w:pPr>
        <w:pStyle w:val="ListBullet"/>
      </w:pPr>
      <w:r>
        <w:rPr>
          <w:rFonts w:ascii="Times New Roman" w:hAnsi="Times New Roman" w:eastAsia="Times New Roman"/>
          <w:b w:val="0"/>
          <w:i w:val="0"/>
          <w:sz w:val="24"/>
          <w:u w:val="none"/>
        </w:rPr>
        <w:t>课程类型: 成熟课程</w:t>
      </w:r>
    </w:p>
    <w:p>
      <w:pPr>
        <w:pStyle w:val="Heading1"/>
      </w:pPr>
      <w:r>
        <w:t>内容要点</w:t>
      </w:r>
    </w:p>
    <w:p>
      <w:r>
        <w:rPr>
          <w:rFonts w:ascii="Calibri" w:hAnsi="Calibri" w:eastAsia="Calibri"/>
          <w:b w:val="0"/>
          <w:i w:val="0"/>
          <w:sz w:val="24"/>
          <w:u w:val="none"/>
        </w:rPr>
        <w:t>1.课程思政元素的挖掘</w:t>
        <w:br/>
        <w:br/>
        <w:t>2.课程思政的融入方法</w:t>
      </w:r>
    </w:p>
    <w:p>
      <w:pPr>
        <w:pStyle w:val="Heading1"/>
      </w:pPr>
      <w:r>
        <w:t>标签</w:t>
      </w:r>
    </w:p>
    <w:p>
      <w:r>
        <w:rPr>
          <w:rFonts w:ascii="Calibri" w:hAnsi="Calibri" w:eastAsia="Calibri"/>
          <w:b w:val="0"/>
          <w:i w:val="0"/>
          <w:color w:val="0064FF"/>
          <w:sz w:val="24"/>
          <w:u w:val="none"/>
        </w:rPr>
        <w:t>课程体系提升, 思政, 智能网联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