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融入智能网联汽车技术国赛的教学设计与教学实施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张铁凤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智能网联汽车技术大赛与专业教学相互融合的内在逻辑与突破路径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