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教育游戏：用游戏化学习提升学生参与度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闵海强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游戏化学习的基本理论和实践方法</w:t>
        <w:br/>
        <w:br/>
        <w:t>学习如何设计和开发教育游戏</w:t>
        <w:br/>
        <w:br/>
        <w:t>掌握教育游戏在提升学生参与度和学习动机方面的应用技巧</w:t>
        <w:br/>
        <w:br/>
        <w:t>探索教育游戏在不同学科和年级中的应用案例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